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00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50 м.п.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VOLMA FASADE KEEP 160/2000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 ГОСТ 55225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Прочность на разрыв H/ 5 см по основе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2000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Прочность на разрыв H/ 5 см по утку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2000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Номинальная масса на единицу площади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160 г/м.кв.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Ширина сетки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 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Длина сетки в рулоне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50 м.п.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Размер ячеек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5х5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Описание: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Армирующая сетка из стекловолокна специально предназначена для армирования систем теплоизоляционных композиционных «VOLMA FASADE». Сетка с переплетенными волокнами из стеклянных нитей, образующими ячейки с размерами сторон 5х5 мм. Сетка из стекловолокна армирует слой, который предотвращает образование трещин вследствие деформации основания или гидрометрической усадки. Сетка помогает контролировать толщину нанесения ровного армированного слоя толщиной около 2-33 мм, армирование усиливает прочность основания, а также устойчивость к изменениям температур и абразивным воздействиям. Сетка из стекловолокна фабрично импергрирована антищелочным покрытием, которое защищает стекловолокна от растворения в щелочной среде клеевого слоя. Сетка из стекловолокна эластична и обладает необходимыми свойствами, при помощи которых она в состоянии выдержать различные виды нагрузок.
﻿</w:t>
      </w:r>
    </w:p>
    <w:p>
      <w:r>
        <w:br w:type="page"/>
      </w:r>
    </w:p>
    <w:sectPr>
      <w:pgSz w:orient="portrait" w:w="11905.511811024" w:h="16837.795275591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VOLMA FASADE KEEP 160/2000</dc:title>
  <dc:description>Документция VOLMA FASADE KEEP 160/2000</dc:description>
  <dc:subject>Документция</dc:subject>
  <cp:keywords>документация</cp:keywords>
  <cp:category>Документация</cp:category>
  <cp:lastModifiedBy>Волма</cp:lastModifiedBy>
  <dcterms:created xsi:type="dcterms:W3CDTF">2019-06-07T00:00:00+03:00</dcterms:created>
  <dcterms:modified xsi:type="dcterms:W3CDTF">2019-06-07T00:00:00+03:00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